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Rule="auto"/>
        <w:rPr>
          <w:b w:val="1"/>
          <w:color w:val="000000"/>
          <w:sz w:val="30"/>
          <w:szCs w:val="30"/>
        </w:rPr>
      </w:pPr>
      <w:r w:rsidDel="00000000" w:rsidR="00000000" w:rsidRPr="00000000">
        <w:rPr>
          <w:b w:val="1"/>
          <w:color w:val="000000"/>
          <w:sz w:val="30"/>
          <w:szCs w:val="30"/>
          <w:rtl w:val="0"/>
        </w:rPr>
        <w:t xml:space="preserve">Draft Licensing Policy Wording: Environmental Sustainability in Live Events</w:t>
      </w:r>
    </w:p>
    <w:p w:rsidR="00000000" w:rsidDel="00000000" w:rsidP="00000000" w:rsidRDefault="00000000" w:rsidRPr="00000000" w14:paraId="00000002">
      <w:pPr>
        <w:spacing w:after="280" w:before="280" w:lineRule="auto"/>
        <w:rPr>
          <w:b w:val="1"/>
          <w:color w:val="000000"/>
          <w:sz w:val="22"/>
          <w:szCs w:val="22"/>
        </w:rPr>
      </w:pPr>
      <w:r w:rsidDel="00000000" w:rsidR="00000000" w:rsidRPr="00000000">
        <w:rPr>
          <w:b w:val="1"/>
          <w:color w:val="000000"/>
          <w:sz w:val="22"/>
          <w:szCs w:val="22"/>
          <w:rtl w:val="0"/>
        </w:rPr>
        <w:t xml:space="preserve">1. Introduction</w:t>
      </w:r>
    </w:p>
    <w:p w:rsidR="00000000" w:rsidDel="00000000" w:rsidP="00000000" w:rsidRDefault="00000000" w:rsidRPr="00000000" w14:paraId="00000003">
      <w:pPr>
        <w:spacing w:after="280" w:before="280" w:lineRule="auto"/>
        <w:rPr>
          <w:color w:val="000000"/>
          <w:sz w:val="22"/>
          <w:szCs w:val="22"/>
        </w:rPr>
      </w:pPr>
      <w:r w:rsidDel="00000000" w:rsidR="00000000" w:rsidRPr="00000000">
        <w:rPr>
          <w:color w:val="000000"/>
          <w:sz w:val="22"/>
          <w:szCs w:val="22"/>
          <w:rtl w:val="0"/>
        </w:rPr>
        <w:t xml:space="preserve">The Council recognises that large-scale live events can have significant environmental impacts, including waste, noise, transport emissions, and energy use. In line with the Council’s Climate and Ecological Emergency commitments, organisers are expected to adopt recognised standards of sustainability and environmental management when applying for premises licences for outdoor and festival-style events.</w:t>
      </w:r>
    </w:p>
    <w:p w:rsidR="00000000" w:rsidDel="00000000" w:rsidP="00000000" w:rsidRDefault="00000000" w:rsidRPr="00000000" w14:paraId="00000004">
      <w:pPr>
        <w:spacing w:after="280" w:before="280" w:lineRule="auto"/>
        <w:rPr>
          <w:b w:val="1"/>
          <w:color w:val="000000"/>
          <w:sz w:val="22"/>
          <w:szCs w:val="22"/>
        </w:rPr>
      </w:pPr>
      <w:r w:rsidDel="00000000" w:rsidR="00000000" w:rsidRPr="00000000">
        <w:rPr>
          <w:b w:val="1"/>
          <w:color w:val="000000"/>
          <w:sz w:val="22"/>
          <w:szCs w:val="22"/>
          <w:rtl w:val="0"/>
        </w:rPr>
        <w:t xml:space="preserve">2. Use of the Green Events Code of Practice</w:t>
      </w:r>
    </w:p>
    <w:p w:rsidR="00000000" w:rsidDel="00000000" w:rsidP="00000000" w:rsidRDefault="00000000" w:rsidRPr="00000000" w14:paraId="00000005">
      <w:pPr>
        <w:spacing w:after="280" w:before="280" w:lineRule="auto"/>
        <w:rPr>
          <w:color w:val="000000"/>
          <w:sz w:val="22"/>
          <w:szCs w:val="22"/>
        </w:rPr>
      </w:pPr>
      <w:r w:rsidDel="00000000" w:rsidR="00000000" w:rsidRPr="00000000">
        <w:rPr>
          <w:color w:val="000000"/>
          <w:sz w:val="22"/>
          <w:szCs w:val="22"/>
          <w:rtl w:val="0"/>
        </w:rPr>
        <w:t xml:space="preserve">The Council endorses the </w:t>
      </w:r>
      <w:r w:rsidDel="00000000" w:rsidR="00000000" w:rsidRPr="00000000">
        <w:rPr>
          <w:b w:val="1"/>
          <w:color w:val="000000"/>
          <w:sz w:val="22"/>
          <w:szCs w:val="22"/>
          <w:rtl w:val="0"/>
        </w:rPr>
        <w:t xml:space="preserve">Green Events Code of Practice (Vision for Sustainable Events/LIVE)</w:t>
      </w:r>
      <w:r w:rsidDel="00000000" w:rsidR="00000000" w:rsidRPr="00000000">
        <w:rPr>
          <w:color w:val="000000"/>
          <w:sz w:val="22"/>
          <w:szCs w:val="22"/>
          <w:rtl w:val="0"/>
        </w:rPr>
        <w:t xml:space="preserve"> as the principal reference standard for environmental sustainability in live events. Applicants for licences for events of [over 1,000] capacity are expected to demonstrate how their Event Management Plans align with the Code.</w:t>
      </w:r>
    </w:p>
    <w:p w:rsidR="00000000" w:rsidDel="00000000" w:rsidP="00000000" w:rsidRDefault="00000000" w:rsidRPr="00000000" w14:paraId="00000006">
      <w:pPr>
        <w:spacing w:after="280" w:before="280" w:lineRule="auto"/>
        <w:rPr>
          <w:b w:val="1"/>
          <w:color w:val="000000"/>
          <w:sz w:val="22"/>
          <w:szCs w:val="22"/>
        </w:rPr>
      </w:pPr>
      <w:r w:rsidDel="00000000" w:rsidR="00000000" w:rsidRPr="00000000">
        <w:rPr>
          <w:b w:val="1"/>
          <w:color w:val="000000"/>
          <w:sz w:val="22"/>
          <w:szCs w:val="22"/>
          <w:rtl w:val="0"/>
        </w:rPr>
        <w:t xml:space="preserve">3. Application requirements</w:t>
      </w:r>
    </w:p>
    <w:p w:rsidR="00000000" w:rsidDel="00000000" w:rsidP="00000000" w:rsidRDefault="00000000" w:rsidRPr="00000000" w14:paraId="00000007">
      <w:pPr>
        <w:spacing w:after="280" w:before="280" w:lineRule="auto"/>
        <w:rPr>
          <w:color w:val="000000"/>
          <w:sz w:val="22"/>
          <w:szCs w:val="22"/>
        </w:rPr>
      </w:pPr>
      <w:r w:rsidDel="00000000" w:rsidR="00000000" w:rsidRPr="00000000">
        <w:rPr>
          <w:color w:val="000000"/>
          <w:sz w:val="22"/>
          <w:szCs w:val="22"/>
          <w:rtl w:val="0"/>
        </w:rPr>
        <w:t xml:space="preserve">Applicants should:</w:t>
      </w:r>
    </w:p>
    <w:p w:rsidR="00000000" w:rsidDel="00000000" w:rsidP="00000000" w:rsidRDefault="00000000" w:rsidRPr="00000000" w14:paraId="00000008">
      <w:pPr>
        <w:numPr>
          <w:ilvl w:val="0"/>
          <w:numId w:val="1"/>
        </w:numPr>
        <w:spacing w:after="0" w:before="280" w:lineRule="auto"/>
        <w:ind w:left="720" w:hanging="360"/>
        <w:rPr>
          <w:color w:val="000000"/>
          <w:sz w:val="22"/>
          <w:szCs w:val="22"/>
        </w:rPr>
      </w:pPr>
      <w:r w:rsidDel="00000000" w:rsidR="00000000" w:rsidRPr="00000000">
        <w:rPr>
          <w:color w:val="000000"/>
          <w:sz w:val="22"/>
          <w:szCs w:val="22"/>
          <w:rtl w:val="0"/>
        </w:rPr>
        <w:t xml:space="preserve">Submit an </w:t>
      </w:r>
      <w:r w:rsidDel="00000000" w:rsidR="00000000" w:rsidRPr="00000000">
        <w:rPr>
          <w:b w:val="1"/>
          <w:color w:val="000000"/>
          <w:sz w:val="22"/>
          <w:szCs w:val="22"/>
          <w:rtl w:val="0"/>
        </w:rPr>
        <w:t xml:space="preserve">Environmental Management Plan</w:t>
      </w:r>
      <w:r w:rsidDel="00000000" w:rsidR="00000000" w:rsidRPr="00000000">
        <w:rPr>
          <w:color w:val="000000"/>
          <w:sz w:val="22"/>
          <w:szCs w:val="22"/>
          <w:rtl w:val="0"/>
        </w:rPr>
        <w:t xml:space="preserve"> demonstrating how they will meet the principles and metrics of the Green Events Code of Practice.</w:t>
      </w:r>
    </w:p>
    <w:p w:rsidR="00000000" w:rsidDel="00000000" w:rsidP="00000000" w:rsidRDefault="00000000" w:rsidRPr="00000000" w14:paraId="00000009">
      <w:pPr>
        <w:numPr>
          <w:ilvl w:val="0"/>
          <w:numId w:val="1"/>
        </w:numPr>
        <w:spacing w:after="0" w:before="0" w:lineRule="auto"/>
        <w:ind w:left="720" w:hanging="360"/>
        <w:rPr>
          <w:color w:val="000000"/>
          <w:sz w:val="22"/>
          <w:szCs w:val="22"/>
        </w:rPr>
      </w:pPr>
      <w:r w:rsidDel="00000000" w:rsidR="00000000" w:rsidRPr="00000000">
        <w:rPr>
          <w:color w:val="000000"/>
          <w:sz w:val="22"/>
          <w:szCs w:val="22"/>
          <w:rtl w:val="0"/>
        </w:rPr>
        <w:t xml:space="preserve">Identify a responsible Environmental/Sustainability Manager for the event.</w:t>
      </w:r>
    </w:p>
    <w:p w:rsidR="00000000" w:rsidDel="00000000" w:rsidP="00000000" w:rsidRDefault="00000000" w:rsidRPr="00000000" w14:paraId="0000000A">
      <w:pPr>
        <w:numPr>
          <w:ilvl w:val="0"/>
          <w:numId w:val="1"/>
        </w:numPr>
        <w:spacing w:after="0" w:before="0" w:lineRule="auto"/>
        <w:ind w:left="720" w:hanging="360"/>
        <w:rPr>
          <w:color w:val="000000"/>
          <w:sz w:val="22"/>
          <w:szCs w:val="22"/>
        </w:rPr>
      </w:pPr>
      <w:r w:rsidDel="00000000" w:rsidR="00000000" w:rsidRPr="00000000">
        <w:rPr>
          <w:color w:val="000000"/>
          <w:sz w:val="22"/>
          <w:szCs w:val="22"/>
          <w:rtl w:val="0"/>
        </w:rPr>
        <w:t xml:space="preserve">Provide evidence of waste, energy, travel, food and material management strategies consistent with the Code.</w:t>
      </w:r>
    </w:p>
    <w:p w:rsidR="00000000" w:rsidDel="00000000" w:rsidP="00000000" w:rsidRDefault="00000000" w:rsidRPr="00000000" w14:paraId="0000000B">
      <w:pPr>
        <w:numPr>
          <w:ilvl w:val="0"/>
          <w:numId w:val="1"/>
        </w:numPr>
        <w:spacing w:after="280" w:before="0" w:lineRule="auto"/>
        <w:ind w:left="720" w:hanging="360"/>
        <w:rPr>
          <w:color w:val="000000"/>
          <w:sz w:val="22"/>
          <w:szCs w:val="22"/>
        </w:rPr>
      </w:pPr>
      <w:r w:rsidDel="00000000" w:rsidR="00000000" w:rsidRPr="00000000">
        <w:rPr>
          <w:color w:val="000000"/>
          <w:sz w:val="22"/>
          <w:szCs w:val="22"/>
          <w:rtl w:val="0"/>
        </w:rPr>
        <w:t xml:space="preserve">Commit to post-event reporting using the Code’s reporting framework (or equivalent approved by the Council).</w:t>
      </w:r>
    </w:p>
    <w:p w:rsidR="00000000" w:rsidDel="00000000" w:rsidP="00000000" w:rsidRDefault="00000000" w:rsidRPr="00000000" w14:paraId="0000000C">
      <w:pPr>
        <w:spacing w:after="280" w:before="280" w:lineRule="auto"/>
        <w:rPr>
          <w:b w:val="1"/>
          <w:color w:val="000000"/>
          <w:sz w:val="22"/>
          <w:szCs w:val="22"/>
        </w:rPr>
      </w:pPr>
      <w:r w:rsidDel="00000000" w:rsidR="00000000" w:rsidRPr="00000000">
        <w:rPr>
          <w:b w:val="1"/>
          <w:color w:val="000000"/>
          <w:sz w:val="22"/>
          <w:szCs w:val="22"/>
          <w:rtl w:val="0"/>
        </w:rPr>
        <w:t xml:space="preserve">4. Licensing conditions</w:t>
      </w:r>
    </w:p>
    <w:p w:rsidR="00000000" w:rsidDel="00000000" w:rsidP="00000000" w:rsidRDefault="00000000" w:rsidRPr="00000000" w14:paraId="0000000D">
      <w:pPr>
        <w:spacing w:after="280" w:before="280" w:lineRule="auto"/>
        <w:rPr>
          <w:color w:val="000000"/>
          <w:sz w:val="22"/>
          <w:szCs w:val="22"/>
        </w:rPr>
      </w:pPr>
      <w:r w:rsidDel="00000000" w:rsidR="00000000" w:rsidRPr="00000000">
        <w:rPr>
          <w:color w:val="000000"/>
          <w:sz w:val="22"/>
          <w:szCs w:val="22"/>
          <w:rtl w:val="0"/>
        </w:rPr>
        <w:t xml:space="preserve">Where appropriate, the Licensing Authority may attach conditions requiring organisers to:</w:t>
      </w:r>
    </w:p>
    <w:p w:rsidR="00000000" w:rsidDel="00000000" w:rsidP="00000000" w:rsidRDefault="00000000" w:rsidRPr="00000000" w14:paraId="0000000E">
      <w:pPr>
        <w:numPr>
          <w:ilvl w:val="0"/>
          <w:numId w:val="2"/>
        </w:numPr>
        <w:spacing w:after="0" w:before="280" w:lineRule="auto"/>
        <w:ind w:left="720" w:hanging="360"/>
        <w:rPr>
          <w:color w:val="000000"/>
          <w:sz w:val="22"/>
          <w:szCs w:val="22"/>
        </w:rPr>
      </w:pPr>
      <w:r w:rsidDel="00000000" w:rsidR="00000000" w:rsidRPr="00000000">
        <w:rPr>
          <w:color w:val="000000"/>
          <w:sz w:val="22"/>
          <w:szCs w:val="22"/>
          <w:rtl w:val="0"/>
        </w:rPr>
        <w:t xml:space="preserve">Operate in accordance with the Green Events Code of Practice (or equivalent).</w:t>
      </w:r>
    </w:p>
    <w:p w:rsidR="00000000" w:rsidDel="00000000" w:rsidP="00000000" w:rsidRDefault="00000000" w:rsidRPr="00000000" w14:paraId="0000000F">
      <w:pPr>
        <w:numPr>
          <w:ilvl w:val="0"/>
          <w:numId w:val="2"/>
        </w:numPr>
        <w:spacing w:after="0" w:before="0" w:lineRule="auto"/>
        <w:ind w:left="720" w:hanging="360"/>
        <w:rPr>
          <w:color w:val="000000"/>
          <w:sz w:val="22"/>
          <w:szCs w:val="22"/>
        </w:rPr>
      </w:pPr>
      <w:r w:rsidDel="00000000" w:rsidR="00000000" w:rsidRPr="00000000">
        <w:rPr>
          <w:color w:val="000000"/>
          <w:sz w:val="22"/>
          <w:szCs w:val="22"/>
          <w:rtl w:val="0"/>
        </w:rPr>
        <w:t xml:space="preserve">Provide monitoring data and post-event reports aligned with the Code.</w:t>
      </w:r>
    </w:p>
    <w:p w:rsidR="00000000" w:rsidDel="00000000" w:rsidP="00000000" w:rsidRDefault="00000000" w:rsidRPr="00000000" w14:paraId="00000010">
      <w:pPr>
        <w:numPr>
          <w:ilvl w:val="0"/>
          <w:numId w:val="2"/>
        </w:numPr>
        <w:spacing w:after="280" w:before="0" w:lineRule="auto"/>
        <w:ind w:left="720" w:hanging="360"/>
        <w:rPr>
          <w:color w:val="000000"/>
          <w:sz w:val="22"/>
          <w:szCs w:val="22"/>
        </w:rPr>
      </w:pPr>
      <w:r w:rsidDel="00000000" w:rsidR="00000000" w:rsidRPr="00000000">
        <w:rPr>
          <w:color w:val="000000"/>
          <w:sz w:val="22"/>
          <w:szCs w:val="22"/>
          <w:rtl w:val="0"/>
        </w:rPr>
        <w:t xml:space="preserve">Appoint an Environmental Liaison Officer to liaise with the Council, residents and responsible authorities.</w:t>
      </w:r>
    </w:p>
    <w:p w:rsidR="00000000" w:rsidDel="00000000" w:rsidP="00000000" w:rsidRDefault="00000000" w:rsidRPr="00000000" w14:paraId="00000011">
      <w:pPr>
        <w:spacing w:after="280" w:before="280" w:lineRule="auto"/>
        <w:rPr>
          <w:b w:val="1"/>
          <w:color w:val="000000"/>
          <w:sz w:val="22"/>
          <w:szCs w:val="22"/>
        </w:rPr>
      </w:pPr>
      <w:r w:rsidDel="00000000" w:rsidR="00000000" w:rsidRPr="00000000">
        <w:rPr>
          <w:b w:val="1"/>
          <w:color w:val="000000"/>
          <w:sz w:val="22"/>
          <w:szCs w:val="22"/>
          <w:rtl w:val="0"/>
        </w:rPr>
        <w:t xml:space="preserve">5. Enforcement and review</w:t>
      </w:r>
    </w:p>
    <w:p w:rsidR="00000000" w:rsidDel="00000000" w:rsidP="00000000" w:rsidRDefault="00000000" w:rsidRPr="00000000" w14:paraId="00000012">
      <w:pPr>
        <w:spacing w:after="280" w:before="280" w:lineRule="auto"/>
        <w:rPr>
          <w:color w:val="000000"/>
          <w:sz w:val="22"/>
          <w:szCs w:val="22"/>
        </w:rPr>
      </w:pPr>
      <w:r w:rsidDel="00000000" w:rsidR="00000000" w:rsidRPr="00000000">
        <w:rPr>
          <w:color w:val="000000"/>
          <w:sz w:val="22"/>
          <w:szCs w:val="22"/>
          <w:rtl w:val="0"/>
        </w:rPr>
        <w:t xml:space="preserve">Failure to adhere to sustainability commitments set out in the licence application or required by licence conditions may result in enforcement action, licence review, or refusal of future applications.</w:t>
      </w:r>
    </w:p>
    <w:p w:rsidR="00000000" w:rsidDel="00000000" w:rsidP="00000000" w:rsidRDefault="00000000" w:rsidRPr="00000000" w14:paraId="00000013">
      <w:pPr>
        <w:rPr>
          <w:color w:val="000000"/>
          <w:sz w:val="22"/>
          <w:szCs w:val="22"/>
        </w:rPr>
      </w:pPr>
      <w:r w:rsidDel="00000000" w:rsidR="00000000" w:rsidRPr="00000000">
        <w:pict>
          <v:rect style="width:0.0pt;height:1.5pt" o:hr="t" o:hrstd="t" o:hralign="center" fillcolor="#A0A0A0" stroked="f"/>
        </w:pict>
      </w:r>
      <w:r w:rsidDel="00000000" w:rsidR="00000000" w:rsidRPr="00000000">
        <w:rPr>
          <w:b w:val="1"/>
          <w:color w:val="000000"/>
          <w:sz w:val="22"/>
          <w:szCs w:val="22"/>
          <w:rtl w:val="0"/>
        </w:rPr>
        <w:t xml:space="preserve">How this helps:</w:t>
      </w:r>
      <w:r w:rsidDel="00000000" w:rsidR="00000000" w:rsidRPr="00000000">
        <w:rPr>
          <w:rtl w:val="0"/>
        </w:rPr>
      </w:r>
    </w:p>
    <w:p w:rsidR="00000000" w:rsidDel="00000000" w:rsidP="00000000" w:rsidRDefault="00000000" w:rsidRPr="00000000" w14:paraId="00000014">
      <w:pPr>
        <w:numPr>
          <w:ilvl w:val="0"/>
          <w:numId w:val="3"/>
        </w:numPr>
        <w:spacing w:after="0" w:before="280" w:lineRule="auto"/>
        <w:ind w:left="720" w:hanging="360"/>
        <w:rPr>
          <w:color w:val="000000"/>
          <w:sz w:val="22"/>
          <w:szCs w:val="22"/>
        </w:rPr>
      </w:pPr>
      <w:r w:rsidDel="00000000" w:rsidR="00000000" w:rsidRPr="00000000">
        <w:rPr>
          <w:color w:val="000000"/>
          <w:sz w:val="22"/>
          <w:szCs w:val="22"/>
          <w:rtl w:val="0"/>
        </w:rPr>
        <w:t xml:space="preserve">Embeds the Code as a recognised “standard of care,” similar to </w:t>
      </w:r>
      <w:r w:rsidDel="00000000" w:rsidR="00000000" w:rsidRPr="00000000">
        <w:rPr>
          <w:sz w:val="22"/>
          <w:szCs w:val="22"/>
          <w:rtl w:val="0"/>
        </w:rPr>
        <w:t xml:space="preserve">the way that</w:t>
      </w:r>
      <w:r w:rsidDel="00000000" w:rsidR="00000000" w:rsidRPr="00000000">
        <w:rPr>
          <w:color w:val="000000"/>
          <w:sz w:val="22"/>
          <w:szCs w:val="22"/>
          <w:rtl w:val="0"/>
        </w:rPr>
        <w:t xml:space="preserve"> the </w:t>
      </w:r>
      <w:r w:rsidDel="00000000" w:rsidR="00000000" w:rsidRPr="00000000">
        <w:rPr>
          <w:i w:val="1"/>
          <w:color w:val="000000"/>
          <w:sz w:val="22"/>
          <w:szCs w:val="22"/>
          <w:rtl w:val="0"/>
        </w:rPr>
        <w:t xml:space="preserve">Purple Guide</w:t>
      </w:r>
      <w:r w:rsidDel="00000000" w:rsidR="00000000" w:rsidRPr="00000000">
        <w:rPr>
          <w:color w:val="000000"/>
          <w:sz w:val="22"/>
          <w:szCs w:val="22"/>
          <w:rtl w:val="0"/>
        </w:rPr>
        <w:t xml:space="preserve"> is used for safety.</w:t>
      </w:r>
    </w:p>
    <w:p w:rsidR="00000000" w:rsidDel="00000000" w:rsidP="00000000" w:rsidRDefault="00000000" w:rsidRPr="00000000" w14:paraId="00000015">
      <w:pPr>
        <w:numPr>
          <w:ilvl w:val="0"/>
          <w:numId w:val="3"/>
        </w:numPr>
        <w:spacing w:after="0" w:before="0" w:lineRule="auto"/>
        <w:ind w:left="720" w:hanging="360"/>
        <w:rPr>
          <w:color w:val="000000"/>
          <w:sz w:val="22"/>
          <w:szCs w:val="22"/>
        </w:rPr>
      </w:pPr>
      <w:r w:rsidDel="00000000" w:rsidR="00000000" w:rsidRPr="00000000">
        <w:rPr>
          <w:sz w:val="22"/>
          <w:szCs w:val="22"/>
          <w:rtl w:val="0"/>
        </w:rPr>
        <w:t xml:space="preserve">K</w:t>
      </w:r>
      <w:r w:rsidDel="00000000" w:rsidR="00000000" w:rsidRPr="00000000">
        <w:rPr>
          <w:color w:val="000000"/>
          <w:sz w:val="22"/>
          <w:szCs w:val="22"/>
          <w:rtl w:val="0"/>
        </w:rPr>
        <w:t xml:space="preserve">eeps conditions tied to the four licensing objectives (especially </w:t>
      </w:r>
      <w:r w:rsidDel="00000000" w:rsidR="00000000" w:rsidRPr="00000000">
        <w:rPr>
          <w:i w:val="1"/>
          <w:color w:val="000000"/>
          <w:sz w:val="22"/>
          <w:szCs w:val="22"/>
          <w:rtl w:val="0"/>
        </w:rPr>
        <w:t xml:space="preserve">public safety</w:t>
      </w:r>
      <w:r w:rsidDel="00000000" w:rsidR="00000000" w:rsidRPr="00000000">
        <w:rPr>
          <w:color w:val="000000"/>
          <w:sz w:val="22"/>
          <w:szCs w:val="22"/>
          <w:rtl w:val="0"/>
        </w:rPr>
        <w:t xml:space="preserve"> and </w:t>
      </w:r>
      <w:r w:rsidDel="00000000" w:rsidR="00000000" w:rsidRPr="00000000">
        <w:rPr>
          <w:i w:val="1"/>
          <w:color w:val="000000"/>
          <w:sz w:val="22"/>
          <w:szCs w:val="22"/>
          <w:rtl w:val="0"/>
        </w:rPr>
        <w:t xml:space="preserve">prevention of public nuisance</w:t>
      </w:r>
      <w:r w:rsidDel="00000000" w:rsidR="00000000" w:rsidRPr="00000000">
        <w:rPr>
          <w:color w:val="000000"/>
          <w:sz w:val="22"/>
          <w:szCs w:val="22"/>
          <w:rtl w:val="0"/>
        </w:rPr>
        <w:t xml:space="preserve">).</w:t>
      </w:r>
    </w:p>
    <w:p w:rsidR="00000000" w:rsidDel="00000000" w:rsidP="00000000" w:rsidRDefault="00000000" w:rsidRPr="00000000" w14:paraId="00000016">
      <w:pPr>
        <w:numPr>
          <w:ilvl w:val="0"/>
          <w:numId w:val="3"/>
        </w:numPr>
        <w:spacing w:after="280" w:before="0" w:lineRule="auto"/>
        <w:ind w:left="720" w:hanging="360"/>
        <w:rPr>
          <w:color w:val="000000"/>
          <w:sz w:val="22"/>
          <w:szCs w:val="22"/>
        </w:rPr>
      </w:pPr>
      <w:r w:rsidDel="00000000" w:rsidR="00000000" w:rsidRPr="00000000">
        <w:rPr>
          <w:color w:val="000000"/>
          <w:sz w:val="22"/>
          <w:szCs w:val="22"/>
          <w:rtl w:val="0"/>
        </w:rPr>
        <w:t xml:space="preserve">Gives councils flexibility: applicants can either follow the Green Events Code or show compliance with an equivalent sustainability framework.</w:t>
      </w:r>
      <w:r w:rsidDel="00000000" w:rsidR="00000000" w:rsidRPr="00000000">
        <w:rPr>
          <w:rtl w:val="0"/>
        </w:rPr>
      </w:r>
    </w:p>
    <w:sectPr>
      <w:pgSz w:h="16820" w:w="11900" w:orient="portrait"/>
      <w:pgMar w:bottom="1440" w:top="1440" w:left="1440" w:right="144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784433"/>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784433"/>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784433"/>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784433"/>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784433"/>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rsid w:val="00784433"/>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784433"/>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784433"/>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784433"/>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784433"/>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784433"/>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784433"/>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784433"/>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784433"/>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784433"/>
    <w:pPr>
      <w:spacing w:after="160" w:before="160"/>
      <w:jc w:val="center"/>
    </w:pPr>
    <w:rPr>
      <w:i w:val="1"/>
      <w:iCs w:val="1"/>
      <w:color w:val="404040" w:themeColor="text1" w:themeTint="0000BF"/>
    </w:rPr>
  </w:style>
  <w:style w:type="character" w:styleId="QuoteChar" w:customStyle="1">
    <w:name w:val="Quote Char"/>
    <w:basedOn w:val="DefaultParagraphFont"/>
    <w:link w:val="Quote"/>
    <w:uiPriority w:val="29"/>
    <w:rsid w:val="00784433"/>
    <w:rPr>
      <w:i w:val="1"/>
      <w:iCs w:val="1"/>
      <w:color w:val="404040" w:themeColor="text1" w:themeTint="0000BF"/>
    </w:rPr>
  </w:style>
  <w:style w:type="paragraph" w:styleId="ListParagraph">
    <w:name w:val="List Paragraph"/>
    <w:basedOn w:val="Normal"/>
    <w:uiPriority w:val="34"/>
    <w:qFormat w:val="1"/>
    <w:rsid w:val="00784433"/>
    <w:pPr>
      <w:ind w:left="720"/>
      <w:contextualSpacing w:val="1"/>
    </w:pPr>
  </w:style>
  <w:style w:type="character" w:styleId="IntenseEmphasis">
    <w:name w:val="Intense Emphasis"/>
    <w:basedOn w:val="DefaultParagraphFont"/>
    <w:uiPriority w:val="21"/>
    <w:qFormat w:val="1"/>
    <w:rsid w:val="00784433"/>
    <w:rPr>
      <w:i w:val="1"/>
      <w:iCs w:val="1"/>
      <w:color w:val="0f4761" w:themeColor="accent1" w:themeShade="0000BF"/>
    </w:rPr>
  </w:style>
  <w:style w:type="paragraph" w:styleId="IntenseQuote">
    <w:name w:val="Intense Quote"/>
    <w:basedOn w:val="Normal"/>
    <w:next w:val="Normal"/>
    <w:link w:val="IntenseQuoteChar"/>
    <w:uiPriority w:val="30"/>
    <w:qFormat w:val="1"/>
    <w:rsid w:val="00784433"/>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784433"/>
    <w:rPr>
      <w:i w:val="1"/>
      <w:iCs w:val="1"/>
      <w:color w:val="0f4761" w:themeColor="accent1" w:themeShade="0000BF"/>
    </w:rPr>
  </w:style>
  <w:style w:type="character" w:styleId="IntenseReference">
    <w:name w:val="Intense Reference"/>
    <w:basedOn w:val="DefaultParagraphFont"/>
    <w:uiPriority w:val="32"/>
    <w:qFormat w:val="1"/>
    <w:rsid w:val="00784433"/>
    <w:rPr>
      <w:b w:val="1"/>
      <w:bCs w:val="1"/>
      <w:smallCaps w:val="1"/>
      <w:color w:val="0f4761" w:themeColor="accent1" w:themeShade="0000BF"/>
      <w:spacing w:val="5"/>
    </w:rPr>
  </w:style>
  <w:style w:type="paragraph" w:styleId="NormalWeb">
    <w:name w:val="Normal (Web)"/>
    <w:basedOn w:val="Normal"/>
    <w:uiPriority w:val="99"/>
    <w:semiHidden w:val="1"/>
    <w:unhideWhenUsed w:val="1"/>
    <w:rsid w:val="00784433"/>
    <w:pPr>
      <w:spacing w:after="100" w:afterAutospacing="1" w:before="100" w:beforeAutospacing="1"/>
    </w:pPr>
    <w:rPr>
      <w:rFonts w:ascii="Times New Roman" w:cs="Times New Roman" w:eastAsia="Times New Roman" w:hAnsi="Times New Roman"/>
      <w:kern w:val="0"/>
      <w:lang w:eastAsia="en-GB"/>
    </w:rPr>
  </w:style>
  <w:style w:type="character" w:styleId="apple-converted-space" w:customStyle="1">
    <w:name w:val="apple-converted-space"/>
    <w:basedOn w:val="DefaultParagraphFont"/>
    <w:rsid w:val="00784433"/>
  </w:style>
  <w:style w:type="character" w:styleId="Strong">
    <w:name w:val="Strong"/>
    <w:basedOn w:val="DefaultParagraphFont"/>
    <w:uiPriority w:val="22"/>
    <w:qFormat w:val="1"/>
    <w:rsid w:val="00784433"/>
    <w:rPr>
      <w:b w:val="1"/>
      <w:bCs w:val="1"/>
    </w:rPr>
  </w:style>
  <w:style w:type="character" w:styleId="Emphasis">
    <w:name w:val="Emphasis"/>
    <w:basedOn w:val="DefaultParagraphFont"/>
    <w:uiPriority w:val="20"/>
    <w:qFormat w:val="1"/>
    <w:rsid w:val="00784433"/>
    <w:rPr>
      <w:i w:val="1"/>
      <w:iCs w:val="1"/>
    </w:rPr>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0/6rWO96nYrGUjlJTUYT+3bBblQ==">CgMxLjA4AHIhMUYtYjlGX3FoQkVwa2JWdi1IbWQwNENQYlVMTl9LYzd1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2025-09-06T20:44:00Z</dcterms:created>
  <dc:creator>Chris Johnson</dc:creator>
</cp:coreProperties>
</file>